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  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w:t>
              <w:br/>
              <w:t>elektroforezde ayrılması görsel ögeler grafik düzenleyiciler e-öğrenme nesnesi ve</w:t>
              <w:br/>
              <w:t>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                                       12.1.2.4. Sentetik biyoloji uygulamalarına örnekler verir.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w:t>
              <w:br/>
              <w:t>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kısacaaçıklanır.</w:t>
              <w:br/>
              <w:t>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12.1.2.5.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w:t>
              <w:br/>
              <w:t>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w:t>
              <w:br/>
              <w:t>görevleri açıklanır.</w:t>
              <w:br/>
              <w:t>b. Uç ve yanal meristemlerin büyümedeki rolü vurgulanarak yaş halkaları ile bağlantı</w:t>
              <w:br/>
              <w:t>kurulur.</w:t>
              <w:br/>
              <w:t>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kendi çektikleri fotoğrafları eğitsel sosyal bir ağ</w:t>
              <w:br/>
              <w:t>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w:t>
              <w:br/>
              <w:t>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w:t>
              <w:br/>
              <w:t>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w:t>
              <w:br/>
              <w:t>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     12.4.1.1. Çevre şartlarının genetik değişimlerin sürekliliğine olan etkisini açıklar.12.4.1.2.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