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10. SINIF  GİYSİ KALıP TASARıMı VE ÜRETİMİ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