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SALıK HİZMETLERİNDE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