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9. SINIF  TEMEL MESLEKİ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