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KADıN SAç ŞEKİLLENDİRME VE KESİM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