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TRK DİLİ VE EDEBİYATı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