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1. SINIF  TESİSAT PROJ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