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9. SINIF  ELEKTRİK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