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9. SINIF  MESLEKİ GELİşİM ATöLYESİ(EET)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