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Doğadançevredennesnelerden duyulan seslerin kaynağına yönelebilme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Müziksel işitebilme</w:t>
            </w:r>
          </w:p>
        </w:tc>
        <w:tc>
          <w:tcPr>
            <w:tcW w:w="3402" w:type="dxa"/>
            <w:vAlign w:val="center"/>
          </w:tcPr>
          <w:p w:rsidR="00FE0D3B" w:rsidRPr="00FE0D3B" w:rsidRDefault="00FE0D3B" w:rsidP="001C2F89">
            <w:pPr>
              <w:rPr>
                <w:sz w:val="14"/>
                <w:szCs w:val="14"/>
              </w:rPr>
            </w:pPr>
            <w:r w:rsidRPr="00FE0D3B">
              <w:rPr>
                <w:sz w:val="14"/>
                <w:szCs w:val="14"/>
              </w:rPr>
              <w:t>Müzik eserinin ritmikezgiselarmonik bileşenlerini tanır. Müzik eserinin ritmikezgiselarmonik bileşenlerini işitsel olarak ayırt eder. Müzik eserinin ritmikezgiselarmonik bileşenlerini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ses farklılıklarını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tempo değişimlerini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Müzikli oyun çalışmalarını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Ritim çalgılarını çalabilme</w:t>
            </w:r>
          </w:p>
        </w:tc>
        <w:tc>
          <w:tcPr>
            <w:tcW w:w="3402" w:type="dxa"/>
            <w:vAlign w:val="center"/>
          </w:tcPr>
          <w:p w:rsidR="00FE0D3B" w:rsidRPr="00FE0D3B" w:rsidRDefault="00FE0D3B" w:rsidP="001C2F89">
            <w:pPr>
              <w:rPr>
                <w:sz w:val="14"/>
                <w:szCs w:val="14"/>
              </w:rPr>
            </w:pPr>
            <w:r w:rsidRPr="00FE0D3B">
              <w:rPr>
                <w:sz w:val="14"/>
                <w:szCs w:val="14"/>
              </w:rPr>
              <w:t>Ritim çalgıları ile çalınacak eseri çözümler. Ritim çalgılarına özgü duruş ve tutuş pozisyonu alır. Ritim çalgılarına özgü teknikleri kullanarak basit ritimleri çalar. Ritim çalgılarına uygun müziksel bileşenleri dinletilen müzik eserine eşlik ederek uygular.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Şarkı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Farklı bölgelerin halk oyunlarını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Geleneksel müzikli oyunları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Farklı türlerdeki müzik eserlerini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İstiklâl Marşını kurallarına uygun dinleyebilme ve söyleyebilme</w:t>
            </w:r>
          </w:p>
        </w:tc>
        <w:tc>
          <w:tcPr>
            <w:tcW w:w="3402" w:type="dxa"/>
            <w:vAlign w:val="center"/>
          </w:tcPr>
          <w:p w:rsidR="00FE0D3B" w:rsidRPr="00FE0D3B" w:rsidRDefault="00FE0D3B" w:rsidP="001C2F89">
            <w:pPr>
              <w:rPr>
                <w:sz w:val="14"/>
                <w:szCs w:val="14"/>
              </w:rPr>
            </w:pPr>
            <w:r w:rsidRPr="00FE0D3B">
              <w:rPr>
                <w:sz w:val="14"/>
                <w:szCs w:val="14"/>
              </w:rPr>
              <w:t>Bedenini İstiklal Marşı söylemeye hazır hâle getirir. İstiklal Marşı dinleme kurallarını uygular. İstiklal Marşına uygun söyleme tekniklerini kullanarak eşlik eder. Müziksel bileşenleri uygular.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Millî ve manevi günler ile ilgili müzikleri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Ülkesindeki müzisyenleri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Temel ses teknolojisi araçlarını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