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(MATEMATİK 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