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GAZETECİLİK ALANI 11. SINIF  HABER ÇEKİ̇Mİ̇ VE KURGUSU 11 (GAZETECİLİK)(YENİ*)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