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HB.3.1.1.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HB.3.1.2.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HB.3.1.3.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Okuldaki Hak ve Sorumluluklar</w:t>
            </w:r>
          </w:p>
        </w:tc>
        <w:tc>
          <w:tcPr>
            <w:tcW w:w="3260" w:type="dxa"/>
            <w:vAlign w:val="center"/>
          </w:tcPr>
          <w:p w:rsidR="00C60E81" w:rsidRPr="00C60E81" w:rsidRDefault="00C60E81" w:rsidP="00262F51">
            <w:pPr>
              <w:rPr>
                <w:sz w:val="14"/>
                <w:szCs w:val="14"/>
              </w:rPr>
            </w:pPr>
            <w:r w:rsidRPr="00C60E81">
              <w:rPr>
                <w:sz w:val="14"/>
                <w:szCs w:val="14"/>
              </w:rPr>
              <w:t>HB.3.1.2. Okuldaki hak ve sorumluluklarına uygun davranabilme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w:t>
            </w:r>
          </w:p>
        </w:tc>
        <w:tc>
          <w:tcPr>
            <w:tcW w:w="3260" w:type="dxa"/>
            <w:vAlign w:val="center"/>
          </w:tcPr>
          <w:p w:rsidR="00C60E81" w:rsidRPr="00C60E81" w:rsidRDefault="00C60E81" w:rsidP="00262F51">
            <w:pPr>
              <w:rPr>
                <w:sz w:val="14"/>
                <w:szCs w:val="14"/>
              </w:rPr>
            </w:pPr>
            <w:r w:rsidRPr="00C60E81">
              <w:rPr>
                <w:sz w:val="14"/>
                <w:szCs w:val="14"/>
              </w:rPr>
              <w:t>HB.3.2.1. Sağlığını korumaya yönelik davranışlarını düzenleyebilme</w:t>
            </w:r>
          </w:p>
        </w:tc>
        <w:tc>
          <w:tcPr>
            <w:tcW w:w="3686" w:type="dxa"/>
            <w:vAlign w:val="center"/>
          </w:tcPr>
          <w:p w:rsidR="00C60E81" w:rsidRPr="00C60E81" w:rsidRDefault="00C60E81" w:rsidP="00262F51">
            <w:pPr>
              <w:rPr>
                <w:sz w:val="14"/>
                <w:szCs w:val="14"/>
              </w:rPr>
            </w:pPr>
            <w:r w:rsidRPr="00C60E81">
              <w:rPr>
                <w:sz w:val="14"/>
                <w:szCs w:val="14"/>
              </w:rPr>
              <w:t>a Sağlığını korumaya yönelik davranışları fark eder. b Sağlığını korumak için uygun olmayan davranışlarında değişiklik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 Güvenliği Tehdit Eden Durumlar</w:t>
            </w:r>
          </w:p>
        </w:tc>
        <w:tc>
          <w:tcPr>
            <w:tcW w:w="3260" w:type="dxa"/>
            <w:vAlign w:val="center"/>
          </w:tcPr>
          <w:p w:rsidR="00C60E81" w:rsidRPr="00C60E81" w:rsidRDefault="00C60E81" w:rsidP="00262F51">
            <w:pPr>
              <w:rPr>
                <w:sz w:val="14"/>
                <w:szCs w:val="14"/>
              </w:rPr>
            </w:pPr>
            <w:r w:rsidRPr="00C60E81">
              <w:rPr>
                <w:sz w:val="14"/>
                <w:szCs w:val="14"/>
              </w:rPr>
              <w:t>OKUL TEMELLİ PLANLAMA HB.3.2.1. Sağlığını korumaya yönelik davranışlarını düzenleyebilme 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HB.3.2.1. b Sağlığını korumak için uygun olmayan davranışlarında değişiklik yapar. HB.3.2.2. 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Tarihî Mekân ve Doğal Güzellikler</w:t>
            </w:r>
          </w:p>
        </w:tc>
        <w:tc>
          <w:tcPr>
            <w:tcW w:w="3260" w:type="dxa"/>
            <w:vAlign w:val="center"/>
          </w:tcPr>
          <w:p w:rsidR="00C60E81" w:rsidRPr="00C60E81" w:rsidRDefault="00C60E81" w:rsidP="00262F51">
            <w:pPr>
              <w:rPr>
                <w:sz w:val="14"/>
                <w:szCs w:val="14"/>
              </w:rPr>
            </w:pPr>
            <w:r w:rsidRPr="00C60E81">
              <w:rPr>
                <w:sz w:val="14"/>
                <w:szCs w:val="14"/>
              </w:rPr>
              <w:t>HB.3.4.1. Yakın çevresindeki tarihî mekân ve doğal güzelliklerin korunmasının önemini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OKUL TEMELLİ PLANLAMA 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OKUL TEMELLİ PLANLAMA 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Afet Öncesi Sırası ve Sonrasında Yapılması Gerekenler</w:t>
            </w:r>
          </w:p>
        </w:tc>
        <w:tc>
          <w:tcPr>
            <w:tcW w:w="3260" w:type="dxa"/>
            <w:vAlign w:val="center"/>
          </w:tcPr>
          <w:p w:rsidR="00C60E81" w:rsidRPr="00C60E81" w:rsidRDefault="00C60E81" w:rsidP="00262F51">
            <w:pPr>
              <w:rPr>
                <w:sz w:val="14"/>
                <w:szCs w:val="14"/>
              </w:rPr>
            </w:pPr>
            <w:r w:rsidRPr="00C60E81">
              <w:rPr>
                <w:sz w:val="14"/>
                <w:szCs w:val="14"/>
              </w:rPr>
              <w:t>HB.3.5.3. Afetlere yönelik yapılması gerekenleri sınıflandırabilme</w:t>
            </w:r>
          </w:p>
        </w:tc>
        <w:tc>
          <w:tcPr>
            <w:tcW w:w="3686" w:type="dxa"/>
            <w:vAlign w:val="center"/>
          </w:tcPr>
          <w:p w:rsidR="00C60E81" w:rsidRPr="00C60E81" w:rsidRDefault="00C60E81" w:rsidP="00262F51">
            <w:pPr>
              <w:rPr>
                <w:sz w:val="14"/>
                <w:szCs w:val="14"/>
              </w:rPr>
            </w:pPr>
            <w:r w:rsidRPr="00C60E81">
              <w:rPr>
                <w:sz w:val="14"/>
                <w:szCs w:val="14"/>
              </w:rPr>
              <w:t>Afetlere yönelik yapılması gerekenleri afet öncesi sırası ve sonrasında yapılması gerekenler olarak ayırt eder.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Çevresel Sürdürülebilirlik</w:t>
            </w:r>
          </w:p>
        </w:tc>
        <w:tc>
          <w:tcPr>
            <w:tcW w:w="3260" w:type="dxa"/>
            <w:vAlign w:val="center"/>
          </w:tcPr>
          <w:p w:rsidR="00C60E81" w:rsidRPr="00C60E81" w:rsidRDefault="00C60E81" w:rsidP="00262F51">
            <w:pPr>
              <w:rPr>
                <w:sz w:val="14"/>
                <w:szCs w:val="14"/>
              </w:rPr>
            </w:pPr>
            <w:r w:rsidRPr="00C60E81">
              <w:rPr>
                <w:sz w:val="14"/>
                <w:szCs w:val="14"/>
              </w:rPr>
              <w:t>HB.3.5.4. Çevresel sürdürülebilirliğe yönelik kaynaklardan bilgi toplayabilme</w:t>
            </w:r>
          </w:p>
        </w:tc>
        <w:tc>
          <w:tcPr>
            <w:tcW w:w="3686" w:type="dxa"/>
            <w:vAlign w:val="center"/>
          </w:tcPr>
          <w:p w:rsidR="00C60E81" w:rsidRPr="00C60E81" w:rsidRDefault="00C60E81" w:rsidP="00262F51">
            <w:pPr>
              <w:rPr>
                <w:sz w:val="14"/>
                <w:szCs w:val="14"/>
              </w:rPr>
            </w:pPr>
            <w:r w:rsidRPr="00C60E81">
              <w:rPr>
                <w:sz w:val="14"/>
                <w:szCs w:val="14"/>
              </w:rPr>
              <w:t>a Çevresel sürdürülebilirliğe yönelik kaynaklardan bilgileri bulur. b Çevresel sürdürülebilirliğe yönelik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OKUL TEMELLİ PLANLAMA 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 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 a Sanatçıların sanata katkılarına yönelik bilgileri bulur.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çıktıları öz değerlendirme formu gözlem formu akran değerlendirme formu portfolyo yapılandırılmış röportaj ve görüşme araçları kullanılarak değerlendirilebilir. Öğrencilerden istenen kişisel gelişim günlüğü hedef-zaman çizelgesi gibi ürünler dereceli puanlama anahtarı ile değerlendirilebilir. Tüm öğrenme çıktılarından oluşan bir izleme testi uygulanabilir. Öğrencilerden çocuk haklarını tanıtmak için farkındalık projeleri geliştirmeleri istenebilir. Öğrencilerden proje tanıtım metni yazmaları ve projelerini sunmaları istenebilir. Proje çalışmaları ürün değerlendirme formu kullanılarak dereceli puanlama anahtarı ile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