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İNGİLİZCE HAZıRLıK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