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 SINIF  MATEMATİK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