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TRK SOSYAL HAYATıNDA AİLE(YENİ*)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