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MİKROMEKANİK ALANI 10. SINIF  TEMEL Mİ̇KROMEKANİ̇K(YENİ*)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1. Dönem 1. Sınav 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1. Dönem 2. Sınav 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2. Dönem 1. Sınav 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2. Dönem 2. Sınav 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