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w:t>
            </w:r>
          </w:p>
        </w:tc>
        <w:tc>
          <w:tcPr>
            <w:tcW w:w="3686" w:type="dxa"/>
            <w:vAlign w:val="center"/>
          </w:tcPr>
          <w:p w:rsidR="00C60E81" w:rsidRPr="00C60E81" w:rsidRDefault="00C60E81" w:rsidP="00262F51">
            <w:pPr>
              <w:rPr>
                <w:sz w:val="14"/>
                <w:szCs w:val="14"/>
              </w:rPr>
            </w:pPr>
            <w:r w:rsidRPr="00C60E81">
              <w:rPr>
                <w:sz w:val="14"/>
                <w:szCs w:val="14"/>
              </w:rPr>
              <w:t>      FOD    kontrolü    düzgün    yapılmazsa    hava    alanı içerisinde oluşabilecek durumlar ve yasal prosedürler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