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ÇOCUK HAKLARI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İnternet ve çocuk konusunda toplanan bilgilerin paylaşılması, tartışılması ve kulüp panosunda paylaşılması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Sorumluluklarını yerine getirebilme</w:t>
            </w:r>
          </w:p>
        </w:tc>
        <w:tc>
          <w:tcPr>
            <w:tcW w:w="4500" w:type="dxa"/>
            <w:vAlign w:val="top"/>
            <w:noWrap/>
          </w:tcPr>
          <w:p>
            <w:pPr/>
            <w:r>
              <w:rPr/>
              <w:t xml:space="preserve">Çocuklara yönelik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Çalışma planının gözden geçirilmesi
Öğrenciler tarafından hazırlanan çocuklara yönelik bilmece ve bulmaca örneklerinin paylaşılarak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Okul İçi Etkinlikler</w:t>
            </w:r>
          </w:p>
        </w:tc>
        <w:tc>
          <w:tcPr>
            <w:tcW w:w="4500" w:type="dxa"/>
            <w:vAlign w:val="top"/>
            <w:noWrap/>
          </w:tcPr>
          <w:p>
            <w:pPr/>
            <w:r>
              <w:rPr/>
              <w:t xml:space="preserve">Okulda farkındalık artırıcı etkinlikler düzenleme
Çocuk hakları panelleri ve sohbetler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1. “Çocuklara Yönelik Tehditlerin Neler Olduğu
 ve Bunlardan Korunma Yolları” konusunda bulunan bilgilerin paylaşılması ve kulüp panosunda sergilenmesi
2.“Çocuk ve Kitap” konusundaki toplanan bilgilerin paylaşılarak kulüp panosunda sergilenmesi.
3. “Çocuklukta Oyun ve Eğitimin Önemi” konusunun bir sonraki toplantı için araştırılması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2026-06-15T22:24:39+03:00</dcterms:created>
  <dcterms:modified xsi:type="dcterms:W3CDTF">2026-06-15T22:24:39+03:00</dcterms:modified>
</cp:coreProperties>
</file>

<file path=docProps/custom.xml><?xml version="1.0" encoding="utf-8"?>
<Properties xmlns="http://schemas.openxmlformats.org/officeDocument/2006/custom-properties" xmlns:vt="http://schemas.openxmlformats.org/officeDocument/2006/docPropsVTypes"/>
</file>